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申报指南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方正楷体_GBK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jc w:val="both"/>
        <w:rPr>
          <w:rFonts w:ascii="Cambria" w:hAnsi="Cambria" w:eastAsia="Cambria" w:cs="Cambria"/>
          <w:b/>
          <w:sz w:val="32"/>
          <w:szCs w:val="32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  <w:t>一、通信网络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（一）支持方向和条件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支持方向：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、北斗导航、低轨卫星技术应用等领域建设项目。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申报条件：（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）申报项目在物联网、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、北斗导航、低轨卫星技术应用等领域关键技术研发方面取得一定突破，已形成较为成熟的生产或服务体系，在国内外具有较大影响力。（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）申报主体为物联网、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5G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、北斗导航、低轨卫星技术应用等领域企事业单位，可以与科研院所、企业联合申报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。联合申报需签订联合体协议，联合体单位不超过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kern w:val="0"/>
          <w:sz w:val="32"/>
          <w:szCs w:val="32"/>
          <w:lang w:val="en-US" w:eastAsia="zh-CN" w:bidi="ar"/>
        </w:rPr>
        <w:t>个。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）项目投资（包括软件、硬件、网络、系统集成等采购费用以及项目研发人力成本）不低于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（二）补助标准。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给予补助，单个项目最高不超过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（三）联系人及联系电话。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岳鑫，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67724377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智能网联汽车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对智能网联汽车的研发、生产、制造、研发、营销、推广等方面有较强促进作用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智能网联汽车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三、人工智能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领域研发及应用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人工智能相关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先进计算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（一）支持方向和条件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五、数字内容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游戏动漫、数字视听、数字出版、网络直播、工业设计等领域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六、区块链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区块链相关领域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七、互联网平台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互联网平台相关领域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八、网络安全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研发及应用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申报条件：（1）申报项目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在国内外具有较大影响力。（2）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申报主体应为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网络安全相关领域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企事业单位，可以联合科研院所、企业联合申报。联合申报需签订联合体协议，联合体单位不超过3个。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0%给予补助，单个项目最高不超过70万。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岳鑫，67724377。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、数据治理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支持方向：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数据治理相关领域研发及应用项目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申报条件：（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申报项目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应在数据治理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相关领域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关键技术研发方面取得一定突破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已形成较为成熟的生产或服务体系，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在国内外具有较大影响力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。（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）申报主体应为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数据治理相关领域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企事业单位，可以与科研院所、企业联合申报。联合申报需签订联合体协议，联合体单位不超过3个。（3）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项目投资（包括软件、硬件、网络、系统集成等采购费用以及项目研发人力成本）不低于200万元。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（二）补助标准。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按不超过项目投入（包括软件、硬件、网络、系统集成等采购费用以及项目研发人力成本）的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%给予补助，单个项目最高不超过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（三）联系人及联系电话。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尹国健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，67724896。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ThmYTMwMjM5M2ViMGQwOTI5MjRmMGZkNzRlZWEifQ=="/>
  </w:docVars>
  <w:rsids>
    <w:rsidRoot w:val="00000000"/>
    <w:rsid w:val="7C8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2022-05-24T09:22:11Z</dcterms:created>
  <dc:creator>black</dc:creator>
  <cp:lastModifiedBy>illusion</cp:lastModifiedBy>
  <dcterms:modified xsi:type="dcterms:W3CDTF">2022-05-24T09:23:34Z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A0DDAB0D3AD44447A1A7180BC85B1D9F</vt:lpwstr>
  </property>
</Properties>
</file>